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Eura7 konsoliduje część swoich kanałów komunikacyjnych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 Grupy Eura7 i spółka Nofsza podjęli w IV kwartale 2022 roku decyzję o konsolidacji części kanałów informacyjnych w swoim portfelu marek. Zmiany dotyczą obszaru Facebooka, Instagrama, LinkedIna oraz bloga firmowego - Labber.pl i będą wprowadzane stopniowo.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Eura7 od ponad 23 lat realizuje działania z zakresu web developmentu, strategii marketingowych, digital marketingu, komunikacji w social mediach, kampanii performance i programów lojalnościowych. W skład grupy wchodzą spółka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Eura7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Abanana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Viscale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start-up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Nofsza</w:t>
        </w:r>
      </w:hyperlink>
      <w:r>
        <w:rPr>
          <w:rFonts w:ascii="calibri" w:hAnsi="calibri" w:eastAsia="calibri" w:cs="calibri"/>
          <w:sz w:val="24"/>
          <w:szCs w:val="24"/>
        </w:rPr>
        <w:t xml:space="preserve">, specjalizujący się we wdrażaniu i prowadzeniu loterii konsumenckich i b2b.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6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najbliższych tygodniach na naszych kanałach zobaczymy pierwsze efekty konsolidacji, które będą stopniowo komunikowane odbiorcom. W ich wyniku część profili zostanie połączona w jeden główny - Grupy Eura7. Ta koncepcja dotyczy przede wszystkim Facebooka oraz LinkedIna. To tam nasi interesariusze w jednym miejscu znajdą wszystkie oczekiwane przez nich treści: od ciekawostek branżowych, przez case study, nasz autorski podcast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Marketing ludzkim głosem</w:t>
      </w:r>
      <w:r>
        <w:rPr>
          <w:rFonts w:ascii="calibri" w:hAnsi="calibri" w:eastAsia="calibri" w:cs="calibri"/>
          <w:sz w:val="24"/>
          <w:szCs w:val="24"/>
        </w:rPr>
        <w:t xml:space="preserve"> po aktualności” - opisuje wdrażane zmiany Maks Michalczak, Head of PR&amp;Content Marketing Grupy Eura7.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„Niezależna komunikacja będzie prowadzona zaledwie w jednym przypadku - dodaje - na TikToku naszej kreatywnej agencji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Abanana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której pomysły są tak inspirujące, oryginalne, niekiedy nieco szalone, że potrzebują dodatkowej przestrzeni na ich werbalizowanie i obrazowanie. Ze względu na model biznesowy niezależną komunikację o organizowanych loteriach prowadzi też spółka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Nofsza</w:t>
        </w:r>
      </w:hyperlink>
      <w:r>
        <w:rPr>
          <w:rFonts w:ascii="calibri" w:hAnsi="calibri" w:eastAsia="calibri" w:cs="calibri"/>
          <w:sz w:val="24"/>
          <w:szCs w:val="24"/>
        </w:rPr>
        <w:t xml:space="preserve">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zajdą także na stronie głównej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grupaeura7.com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blogu firmowym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labber.pl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Ten ostatni przejmie funkcje typowo informacyjne, pojawiać się będą newsy z branży i zadań realizowanych przez spółki. Natomiast na stronie nofsza.pl będą umieszczane informacje o bieżących i archiwalnych loteriach. Na stronie grupy umieścimy natomiast informacje jej poświęcone, aktualności z życia marek oraz podcast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 Marketing ludzkim głosem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ura7.com/" TargetMode="External"/><Relationship Id="rId8" Type="http://schemas.openxmlformats.org/officeDocument/2006/relationships/hyperlink" Target="https://www.abanana.pl/" TargetMode="External"/><Relationship Id="rId9" Type="http://schemas.openxmlformats.org/officeDocument/2006/relationships/hyperlink" Target="https://www.viscale.pl/" TargetMode="External"/><Relationship Id="rId10" Type="http://schemas.openxmlformats.org/officeDocument/2006/relationships/hyperlink" Target="https://www.nofsza.pl/" TargetMode="External"/><Relationship Id="rId11" Type="http://schemas.openxmlformats.org/officeDocument/2006/relationships/image" Target="media/section_image1.jpg"/><Relationship Id="rId12" Type="http://schemas.openxmlformats.org/officeDocument/2006/relationships/hyperlink" Target="http://grupaeura7.biuroprasowe.pl/" TargetMode="External"/><Relationship Id="rId13" Type="http://schemas.openxmlformats.org/officeDocument/2006/relationships/hyperlink" Target="https://www.labber.pl/" TargetMode="External"/><Relationship Id="rId14" Type="http://schemas.openxmlformats.org/officeDocument/2006/relationships/hyperlink" Target="https://www.labber.pl/category/podcas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2026-11-07T21:06:37+01:00</dcterms:created>
  <dcterms:modified xsi:type="dcterms:W3CDTF">2026-11-07T21:06:37+01:00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