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Śniadania Internet ASAP w Nowym Sączu, Katowicach i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sukcesowi cyklu konferencji i warsztatów pod hasłem: Internet ASAP, organizowanych dotychczas w Krakowie i Warszawie, zdecydowaliśmy się rozszerzyć naszą ofertę na inne polskie miasta. W ramach 9. serii przygotowujemy kolejne spotkania, o charakterze biznesowych śniadań, w Nowym Sączu, Katowicach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podejmiemy wspólnie temat: Jak się dobrze sprzedać, czyli o budowaniu marki w Internecie i nie tylko.</w:t>
      </w:r>
    </w:p>
    <w:p/>
    <w:p/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zwiększyć zasięg w social media, na Facebooku i Instagramie, jak zdobyć zaangażowanie użytkowników? Co należy robić, żeby poznać swoich dotychczasowych oraz przyszłych konsumentów? Jak eventy pomagają w budowaniu marki? Tego dowiemy się już na przełomie maja i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śniadania marketingowe, poświęcone tym zagadnieniom, odbędą się 24 maja w Nowym Sączu, 31 maja w Katowicach oraz 7 czerwca w Kielcach.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tematyka spotkań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Prowadzenie skutecznej komunikacji na Facebooku i Instagramie</w:t>
      </w:r>
      <w:r>
        <w:rPr>
          <w:rFonts w:ascii="calibri" w:hAnsi="calibri" w:eastAsia="calibri" w:cs="calibri"/>
          <w:sz w:val="24"/>
          <w:szCs w:val="24"/>
        </w:rPr>
        <w:t xml:space="preserve"> – prelegent: Łukasz Wołek, prezes agencji Abanana;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Poznaj swoich dotychczasowych i przyszłych konsumentów</w:t>
      </w:r>
      <w:r>
        <w:rPr>
          <w:rFonts w:ascii="calibri" w:hAnsi="calibri" w:eastAsia="calibri" w:cs="calibri"/>
          <w:sz w:val="24"/>
          <w:szCs w:val="24"/>
        </w:rPr>
        <w:t xml:space="preserve"> – prelegent: Hubert Wydrych, Head of Product Unamo Social Media;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eventy pomagają w budowaniu marki </w:t>
      </w:r>
      <w:r>
        <w:rPr>
          <w:rFonts w:ascii="calibri" w:hAnsi="calibri" w:eastAsia="calibri" w:cs="calibri"/>
          <w:sz w:val="24"/>
          <w:szCs w:val="24"/>
        </w:rPr>
        <w:t xml:space="preserve">– prelegenci: Jakub Kozioł, wiceprezes PROIDEA i Andrzej Targosz, prezes Eventory.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warsztaty. Śniadania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</w:t>
      </w:r>
      <w:r>
        <w:rPr>
          <w:rFonts w:ascii="calibri" w:hAnsi="calibri" w:eastAsia="calibri" w:cs="calibri"/>
          <w:sz w:val="24"/>
          <w:szCs w:val="24"/>
        </w:rPr>
        <w:t xml:space="preserve">Eura7, właściciel agencji interaktywnej Eura7 i agencji komunikacji marketingowej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duże zainteresowanie wśród uczestników budzą również warsztaty. Organizatorzy zapewniają przestrzeń na dyskusje i nawiązanie nowych kontaktów. „Przez kilka lat byliśmy członkiem nadzwyczajnym IAB Polska, braliśmy udział w konferencjach i wydarzeniach typu case study show. W związku z tym, że członkostwo to nie przyniosło oczekiwanych rezultatów, postanowiliśmy opuścić IAB i inicjować swoje przedsięwzięcia z korzyścią dla nas i naszych Klientów” – mówi Łukasz Wołek, prezes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oto.pl/agencje-pr/abanana" TargetMode="External"/><Relationship Id="rId10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2026-01-23T21:03:14+01:00</dcterms:created>
  <dcterms:modified xsi:type="dcterms:W3CDTF">2026-01-23T21:03:14+01:00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