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Eura7 – świetne miejsce na staż dla ludzi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świat stał się jedną małą globalną wioską. Doskonałe kampanie internetowe, prowadzone przez agencje z różnych krajów, podbijają cały świat, wzbudzając zainteresowanie i zachwyt, często stają się hitem Internetu. Przy wykorzystaniu odpowiednich narzędzi można również prowadzić kampanię na odległość i znacznie zwiększyć zasięg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Dzięki narzędziu Hashlovers Abanana przeprowadziła kampanię dla marki Activlab Sport. Nie byłoby w tym nic nadzwyczajnego, gdyby nie fakt, że kampania realizowana była na Instagramie w czasie trwania Super Bowl w USA, a agencja Abanana została wyróżniona przez amerykańską Akademię Sztuk Interaktywnych i Wizualnych nagrodą Davey Awards, Best In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nobilitują, wyróżniają spośród innych, budzą zainteresowanie branży. O Abananie dowiedziała się Ali Hemming z Utah w Stanach Zjednoczonych, która studiuje na Brigham Young University.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chciałam odbyć marketingowy staż w Polsce, więc zrobiłam rozeznanie w Internecie. Szukałam agencji znanej na rynku amerykańskim, współpracującej z dużymi markami. Taką agencją jest Abanana, która pracowała z rozpoznawanymi na całym świecie firmami IKEA, Hugo Boss, a także z największymi polskimi markami. Jestem pod wrażeniem, jak kreatywne są pomysły i kampanie Abanany, wiem, że wiele wyniosę z tego stażu</w:t>
      </w:r>
      <w:r>
        <w:rPr>
          <w:rFonts w:ascii="calibri" w:hAnsi="calibri" w:eastAsia="calibri" w:cs="calibri"/>
          <w:sz w:val="24"/>
          <w:szCs w:val="24"/>
        </w:rPr>
        <w:t xml:space="preserve"> - mówi o swojej decyzji Ali, która w krakowskiej agencji spędzi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dopiero początek działań zmierzających do zniesienia barier czasowych i przestrzennych w projektach Abanany.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pod koniec maja odwiedzi nas grupa około 50 studentów z Uniwersytetu w Groningen w Holandii. To studenci, którzy na co dzień zajmują się komunikacją, mediami i IT, więc doskonale wpisują się w profil działania Eura7 oraz Abanana. Jak pokazuje przykład Ali, jesteśmy otwarci na współpracę z uczelniami z całego świata. Studenci, którzy wychowali się w odmiennej kulturze i mają doświadczenia z innych rynków, są wartościowym uczestnikiem naszych działań, a zarazem naturalnym ambasadorem Polski oraz naszej agencji</w:t>
      </w:r>
      <w:r>
        <w:rPr>
          <w:rFonts w:ascii="calibri" w:hAnsi="calibri" w:eastAsia="calibri" w:cs="calibri"/>
          <w:sz w:val="24"/>
          <w:szCs w:val="24"/>
        </w:rPr>
        <w:t xml:space="preserve"> - twierdzi Łukasz Wołek, CEO Eura7 i Abanana.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2025-11-30T14:34:45+01:00</dcterms:created>
  <dcterms:modified xsi:type="dcterms:W3CDTF">2025-11-30T14:34:45+01:00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