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Abanana i Eura7 – świetne miejsce na staż dla ludzi z całego świata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dobie Internetu świat stał się jedną małą globalną wioską. Doskonałe kampanie internetowe, prowadzone przez agencje z różnych krajów, podbijają cały świat, wzbudzając zainteresowanie i zachwyt, często stają się hitem Internetu. Przy wykorzystaniu odpowiednich narzędzi można również prowadzić kampanię na odległość i znacznie zwiększyć zasięg komunikacji.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 Dzięki narzędziu Hashlovers Abanana przeprowadziła kampanię dla marki Activlab Sport. Nie byłoby w tym nic nadzwyczajnego, gdyby nie fakt, że kampania realizowana była na Instagramie w czasie trwania Super Bowl w USA, a agencja Abanana została wyróżniona przez amerykańską Akademię Sztuk Interaktywnych i Wizualnych nagrodą Davey Awards, Best In Show.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Nagrody nobilitują, wyróżniają spośród innych, budzą zainteresowanie branży. O Abananie dowiedziała się Ali Hemming z Utah w Stanach Zjednoczonych, która studiuje na Brigham Young University. 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Bardzo chciałam odbyć marketingowy staż w Polsce, więc zrobiłam rozeznanie w Internecie. Szukałam agencji znanej na rynku amerykańskim, współpracującej z dużymi markami. Taką agencją jest Abanana, która pracowała z rozpoznawanymi na całym świecie firmami IKEA, Hugo Boss, a także z największymi polskimi markami. Jestem pod wrażeniem, jak kreatywne są pomysły i kampanie Abanany, wiem, że wiele wyniosę z tego stażu</w:t>
      </w:r>
      <w:r>
        <w:rPr>
          <w:rFonts w:ascii="calibri" w:hAnsi="calibri" w:eastAsia="calibri" w:cs="calibri"/>
          <w:sz w:val="24"/>
          <w:szCs w:val="24"/>
        </w:rPr>
        <w:t xml:space="preserve"> - mówi o swojej decyzji Ali, która w krakowskiej agencji spędzi trzy miesiące.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to dopiero początek działań zmierzających do zniesienia barier czasowych i przestrzennych w projektach Abanany.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Już pod koniec maja odwiedzi nas grupa około 50 studentów z Uniwersytetu w Groningen w Holandii. To studenci, którzy na co dzień zajmują się komunikacją, mediami i IT, więc doskonale wpisują się w profil działania Eura7 oraz Abanana. Jak pokazuje przykład Ali, jesteśmy otwarci na współpracę z uczelniami z całego świata. Studenci, którzy wychowali się w odmiennej kulturze i mają doświadczenia z innych rynków, są wartościowym uczestnikiem naszych działań, a zarazem naturalnym ambasadorem Polski oraz naszej agencji</w:t>
      </w:r>
      <w:r>
        <w:rPr>
          <w:rFonts w:ascii="calibri" w:hAnsi="calibri" w:eastAsia="calibri" w:cs="calibri"/>
          <w:sz w:val="24"/>
          <w:szCs w:val="24"/>
        </w:rPr>
        <w:t xml:space="preserve"> - twierdzi Łukasz Wołek, CEO Eura7 i Abanana.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2026-07-28T01:39:48+02:00</dcterms:created>
  <dcterms:modified xsi:type="dcterms:W3CDTF">2026-07-28T01:39:48+02:00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